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8A9" w:rsidRPr="008D28A9" w:rsidRDefault="00DD776E"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DD776E">
        <w:rPr>
          <w:rFonts w:ascii="Times New Roman" w:eastAsia="Times New Roman" w:hAnsi="Times New Roman" w:cs="Times New Roman"/>
          <w:b/>
          <w:color w:val="474747"/>
          <w:sz w:val="24"/>
          <w:szCs w:val="24"/>
          <w:lang w:eastAsia="it-IT"/>
        </w:rPr>
        <w:t xml:space="preserve">La prova preselettiva </w:t>
      </w:r>
      <w:r>
        <w:rPr>
          <w:rFonts w:ascii="Times New Roman" w:eastAsia="Times New Roman" w:hAnsi="Times New Roman" w:cs="Times New Roman"/>
          <w:color w:val="474747"/>
          <w:sz w:val="24"/>
          <w:szCs w:val="24"/>
          <w:lang w:eastAsia="it-IT"/>
        </w:rPr>
        <w:t>s</w:t>
      </w:r>
      <w:r w:rsidR="008D28A9" w:rsidRPr="008D28A9">
        <w:rPr>
          <w:rFonts w:ascii="Times New Roman" w:eastAsia="Times New Roman" w:hAnsi="Times New Roman" w:cs="Times New Roman"/>
          <w:color w:val="474747"/>
          <w:sz w:val="24"/>
          <w:szCs w:val="24"/>
          <w:lang w:eastAsia="it-IT"/>
        </w:rPr>
        <w:t>i svolgerà qualora a livello regionale e per ciascuna distinta procedura, il numero dei candidati sia superiore a quattro volte il numero dei posti messi a concorso e, comunque, non inferiore a 250.</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 xml:space="preserve">Sarà computer </w:t>
      </w:r>
      <w:proofErr w:type="spellStart"/>
      <w:r w:rsidRPr="008D28A9">
        <w:rPr>
          <w:rFonts w:ascii="Times New Roman" w:eastAsia="Times New Roman" w:hAnsi="Times New Roman" w:cs="Times New Roman"/>
          <w:color w:val="474747"/>
          <w:sz w:val="24"/>
          <w:szCs w:val="24"/>
          <w:lang w:eastAsia="it-IT"/>
        </w:rPr>
        <w:t>based</w:t>
      </w:r>
      <w:proofErr w:type="spellEnd"/>
      <w:r w:rsidRPr="008D28A9">
        <w:rPr>
          <w:rFonts w:ascii="Times New Roman" w:eastAsia="Times New Roman" w:hAnsi="Times New Roman" w:cs="Times New Roman"/>
          <w:color w:val="474747"/>
          <w:sz w:val="24"/>
          <w:szCs w:val="24"/>
          <w:lang w:eastAsia="it-IT"/>
        </w:rPr>
        <w:t>, sui seguenti argomenti</w:t>
      </w:r>
    </w:p>
    <w:p w:rsidR="008D28A9" w:rsidRPr="008D28A9" w:rsidRDefault="008D28A9" w:rsidP="008D28A9">
      <w:pPr>
        <w:numPr>
          <w:ilvl w:val="0"/>
          <w:numId w:val="1"/>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capacità logiche</w:t>
      </w:r>
    </w:p>
    <w:p w:rsidR="008D28A9" w:rsidRPr="008D28A9" w:rsidRDefault="008D28A9" w:rsidP="008D28A9">
      <w:pPr>
        <w:numPr>
          <w:ilvl w:val="0"/>
          <w:numId w:val="1"/>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comprensione del testo</w:t>
      </w:r>
    </w:p>
    <w:p w:rsidR="008D28A9" w:rsidRPr="008D28A9" w:rsidRDefault="008D28A9" w:rsidP="008D28A9">
      <w:pPr>
        <w:numPr>
          <w:ilvl w:val="0"/>
          <w:numId w:val="1"/>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conoscenza della normativa scolastica</w:t>
      </w:r>
    </w:p>
    <w:p w:rsidR="008D28A9" w:rsidRDefault="008D28A9" w:rsidP="008D28A9">
      <w:pPr>
        <w:numPr>
          <w:ilvl w:val="0"/>
          <w:numId w:val="1"/>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conoscenza della lingua inglese almeno al livello B2</w:t>
      </w:r>
    </w:p>
    <w:p w:rsidR="00DD776E" w:rsidRPr="008D28A9" w:rsidRDefault="00DD776E" w:rsidP="008D28A9">
      <w:pPr>
        <w:numPr>
          <w:ilvl w:val="0"/>
          <w:numId w:val="1"/>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Posti comuni</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Sono previste le seguenti prove</w:t>
      </w:r>
    </w:p>
    <w:p w:rsidR="008D28A9" w:rsidRPr="008D28A9" w:rsidRDefault="008D28A9" w:rsidP="008D28A9">
      <w:pPr>
        <w:numPr>
          <w:ilvl w:val="0"/>
          <w:numId w:val="2"/>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due prove scritte;</w:t>
      </w:r>
    </w:p>
    <w:p w:rsidR="008D28A9" w:rsidRPr="008D28A9" w:rsidRDefault="008D28A9" w:rsidP="008D28A9">
      <w:pPr>
        <w:numPr>
          <w:ilvl w:val="0"/>
          <w:numId w:val="2"/>
        </w:numPr>
        <w:shd w:val="clear" w:color="auto" w:fill="FFFFFF"/>
        <w:spacing w:after="0" w:line="240" w:lineRule="auto"/>
        <w:ind w:left="525"/>
        <w:textAlignment w:val="baseline"/>
        <w:rPr>
          <w:rFonts w:ascii="inherit" w:eastAsia="Times New Roman" w:hAnsi="inherit" w:cs="Times New Roman"/>
          <w:color w:val="474747"/>
          <w:sz w:val="24"/>
          <w:szCs w:val="24"/>
          <w:lang w:eastAsia="it-IT"/>
        </w:rPr>
      </w:pPr>
      <w:r w:rsidRPr="008D28A9">
        <w:rPr>
          <w:rFonts w:ascii="inherit" w:eastAsia="Times New Roman" w:hAnsi="inherit" w:cs="Times New Roman"/>
          <w:color w:val="474747"/>
          <w:sz w:val="24"/>
          <w:szCs w:val="24"/>
          <w:lang w:eastAsia="it-IT"/>
        </w:rPr>
        <w:t>una prova orale.</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Per i posti di sostegno</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una prova scritta;</w:t>
      </w:r>
      <w:r w:rsidRPr="008D28A9">
        <w:rPr>
          <w:rFonts w:ascii="Times New Roman" w:eastAsia="Times New Roman" w:hAnsi="Times New Roman" w:cs="Times New Roman"/>
          <w:color w:val="474747"/>
          <w:sz w:val="24"/>
          <w:szCs w:val="24"/>
          <w:lang w:eastAsia="it-IT"/>
        </w:rPr>
        <w:br/>
        <w:t>una prova orale</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Posti comuni: prima prova scritta</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prima prova scritta ha l’obiettivo di valutare il grado di conoscenze e competenze del candidato </w:t>
      </w:r>
      <w:r w:rsidRPr="008D28A9">
        <w:rPr>
          <w:rFonts w:ascii="inherit" w:eastAsia="Times New Roman" w:hAnsi="inherit" w:cs="Times New Roman"/>
          <w:b/>
          <w:bCs/>
          <w:color w:val="474747"/>
          <w:sz w:val="24"/>
          <w:szCs w:val="24"/>
          <w:bdr w:val="none" w:sz="0" w:space="0" w:color="auto" w:frame="1"/>
          <w:lang w:eastAsia="it-IT"/>
        </w:rPr>
        <w:t>sulle discipline afferenti alla classe di concorso</w:t>
      </w:r>
      <w:r w:rsidRPr="008D28A9">
        <w:rPr>
          <w:rFonts w:ascii="Times New Roman" w:eastAsia="Times New Roman" w:hAnsi="Times New Roman" w:cs="Times New Roman"/>
          <w:color w:val="474747"/>
          <w:sz w:val="24"/>
          <w:szCs w:val="24"/>
          <w:lang w:eastAsia="it-IT"/>
        </w:rPr>
        <w:t>.</w:t>
      </w:r>
      <w:r w:rsidRPr="008D28A9">
        <w:rPr>
          <w:rFonts w:ascii="Times New Roman" w:eastAsia="Times New Roman" w:hAnsi="Times New Roman" w:cs="Times New Roman"/>
          <w:color w:val="474747"/>
          <w:sz w:val="24"/>
          <w:szCs w:val="24"/>
          <w:lang w:eastAsia="it-IT"/>
        </w:rPr>
        <w:br/>
        <w:t>Nel caso di classi di concorso riguardanti le lingue e culture straniere, la prova deve essere prodotta nella lingua prescelta.</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è superata dai candidati che conseguono il punteggio minimo di sette decimi o equivalente (28/40).</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Il superamento della prova è condizione necessaria perché sia valutata la prova successiva.</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Posti comuni: seconda prova scritta</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 xml:space="preserve">La seconda prova scritta per i candidati a posti comuni è composta da due quesiti, dato che bisognerà accertare sia le conoscenze e competenze sulle discipline </w:t>
      </w:r>
      <w:proofErr w:type="spellStart"/>
      <w:r w:rsidRPr="008D28A9">
        <w:rPr>
          <w:rFonts w:ascii="Times New Roman" w:eastAsia="Times New Roman" w:hAnsi="Times New Roman" w:cs="Times New Roman"/>
          <w:color w:val="474747"/>
          <w:sz w:val="24"/>
          <w:szCs w:val="24"/>
          <w:lang w:eastAsia="it-IT"/>
        </w:rPr>
        <w:t>antropo</w:t>
      </w:r>
      <w:proofErr w:type="spellEnd"/>
      <w:r w:rsidRPr="008D28A9">
        <w:rPr>
          <w:rFonts w:ascii="Times New Roman" w:eastAsia="Times New Roman" w:hAnsi="Times New Roman" w:cs="Times New Roman"/>
          <w:color w:val="474747"/>
          <w:sz w:val="24"/>
          <w:szCs w:val="24"/>
          <w:lang w:eastAsia="it-IT"/>
        </w:rPr>
        <w:t>-psico-pedagogiche che quella sulle metodologie e tecnologie didattiche.</w:t>
      </w:r>
      <w:r w:rsidRPr="008D28A9">
        <w:rPr>
          <w:rFonts w:ascii="inherit" w:eastAsia="Times New Roman" w:hAnsi="inherit" w:cs="Times New Roman"/>
          <w:b/>
          <w:bCs/>
          <w:color w:val="474747"/>
          <w:sz w:val="24"/>
          <w:szCs w:val="24"/>
          <w:bdr w:val="none" w:sz="0" w:space="0" w:color="auto" w:frame="1"/>
          <w:lang w:eastAsia="it-IT"/>
        </w:rPr>
        <w:t> Il programma in questo caso è quello dell’allegato A relativo ai 24 CFU di cui al DM n. 616/2017</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è superata dai candidati che conseguono il punteggio minimo di sette decimi o equivalente (28/40).</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Il superamento della prova è condizione necessaria per accedere alla successiva prova orale.</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Posti sostegno:  prova scritta</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ha l’obiettivo di valutare il grado delle conoscenze e competenze del candidato sulla pedagogia speciale, sulla didattica per l’inclusione scolastica e sulle relative metodologie.</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è superata dai candidati che conseguono il </w:t>
      </w:r>
      <w:r w:rsidRPr="008D28A9">
        <w:rPr>
          <w:rFonts w:ascii="inherit" w:eastAsia="Times New Roman" w:hAnsi="inherit" w:cs="Times New Roman"/>
          <w:b/>
          <w:bCs/>
          <w:color w:val="474747"/>
          <w:sz w:val="24"/>
          <w:szCs w:val="24"/>
          <w:bdr w:val="none" w:sz="0" w:space="0" w:color="auto" w:frame="1"/>
          <w:lang w:eastAsia="it-IT"/>
        </w:rPr>
        <w:t>punteggio minimo di sette decimi o equivalente</w:t>
      </w:r>
      <w:r w:rsidRPr="008D28A9">
        <w:rPr>
          <w:rFonts w:ascii="Times New Roman" w:eastAsia="Times New Roman" w:hAnsi="Times New Roman" w:cs="Times New Roman"/>
          <w:color w:val="474747"/>
          <w:sz w:val="24"/>
          <w:szCs w:val="24"/>
          <w:lang w:eastAsia="it-IT"/>
        </w:rPr>
        <w:t>.</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Il superamento della prova  è condizione necessaria per accedere alla prova orale.</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Prova orale</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consiste nella progettazione di un’attività didattica che ha l’obiettivo di valutare il grado delle conoscenze e competenze del candidato nelle discipline facenti parte della classe di concorso, di verificare la conoscenza di una lingua straniera europea almeno al livello B2 del quadro comune europeo, nonché la capacità didattiche attraverso l’utilizzo pratico delle TIC.</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Il tempo a disposizione sarà indicato nel bando</w:t>
      </w:r>
      <w:r w:rsidR="00DD776E">
        <w:rPr>
          <w:rFonts w:ascii="Times New Roman" w:eastAsia="Times New Roman" w:hAnsi="Times New Roman" w:cs="Times New Roman"/>
          <w:color w:val="474747"/>
          <w:sz w:val="24"/>
          <w:szCs w:val="24"/>
          <w:lang w:eastAsia="it-IT"/>
        </w:rPr>
        <w:t>.</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DD776E">
        <w:rPr>
          <w:rFonts w:ascii="Times New Roman" w:eastAsia="Times New Roman" w:hAnsi="Times New Roman" w:cs="Times New Roman"/>
          <w:b/>
          <w:color w:val="474747"/>
          <w:sz w:val="24"/>
          <w:szCs w:val="24"/>
          <w:lang w:eastAsia="it-IT"/>
        </w:rPr>
        <w:lastRenderedPageBreak/>
        <w:t>La prova orale comprende anche quella pratica</w:t>
      </w:r>
      <w:r w:rsidRPr="008D28A9">
        <w:rPr>
          <w:rFonts w:ascii="Times New Roman" w:eastAsia="Times New Roman" w:hAnsi="Times New Roman" w:cs="Times New Roman"/>
          <w:color w:val="474747"/>
          <w:sz w:val="24"/>
          <w:szCs w:val="24"/>
          <w:lang w:eastAsia="it-IT"/>
        </w:rPr>
        <w:t>, ove gli insegnamenti lo richiedano.</w:t>
      </w:r>
    </w:p>
    <w:p w:rsidR="008D28A9" w:rsidRPr="008D28A9" w:rsidRDefault="00DD776E"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DD776E">
        <w:rPr>
          <w:rFonts w:ascii="Times New Roman" w:eastAsia="Times New Roman" w:hAnsi="Times New Roman" w:cs="Times New Roman"/>
          <w:b/>
          <w:color w:val="474747"/>
          <w:sz w:val="24"/>
          <w:szCs w:val="24"/>
          <w:lang w:eastAsia="it-IT"/>
        </w:rPr>
        <w:t>Superano la prova</w:t>
      </w:r>
      <w:r>
        <w:rPr>
          <w:rFonts w:ascii="Times New Roman" w:eastAsia="Times New Roman" w:hAnsi="Times New Roman" w:cs="Times New Roman"/>
          <w:color w:val="474747"/>
          <w:sz w:val="24"/>
          <w:szCs w:val="24"/>
          <w:lang w:eastAsia="it-IT"/>
        </w:rPr>
        <w:t xml:space="preserve"> i </w:t>
      </w:r>
      <w:r w:rsidR="008D28A9" w:rsidRPr="008D28A9">
        <w:rPr>
          <w:rFonts w:ascii="Times New Roman" w:eastAsia="Times New Roman" w:hAnsi="Times New Roman" w:cs="Times New Roman"/>
          <w:color w:val="474747"/>
          <w:sz w:val="24"/>
          <w:szCs w:val="24"/>
          <w:lang w:eastAsia="it-IT"/>
        </w:rPr>
        <w:t>candidati che conseguono il </w:t>
      </w:r>
      <w:r w:rsidR="008D28A9" w:rsidRPr="008D28A9">
        <w:rPr>
          <w:rFonts w:ascii="inherit" w:eastAsia="Times New Roman" w:hAnsi="inherit" w:cs="Times New Roman"/>
          <w:b/>
          <w:bCs/>
          <w:color w:val="474747"/>
          <w:sz w:val="24"/>
          <w:szCs w:val="24"/>
          <w:bdr w:val="none" w:sz="0" w:space="0" w:color="auto" w:frame="1"/>
          <w:lang w:eastAsia="it-IT"/>
        </w:rPr>
        <w:t>punteggio minimo di sette decimi o equivalente (28/40)</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Posti di sostegno</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Prova scritta</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DD776E">
        <w:rPr>
          <w:rFonts w:ascii="Times New Roman" w:eastAsia="Times New Roman" w:hAnsi="Times New Roman" w:cs="Times New Roman"/>
          <w:b/>
          <w:color w:val="474747"/>
          <w:sz w:val="24"/>
          <w:szCs w:val="24"/>
          <w:lang w:eastAsia="it-IT"/>
        </w:rPr>
        <w:t>La prova è volta all’accertamento</w:t>
      </w:r>
      <w:r w:rsidRPr="008D28A9">
        <w:rPr>
          <w:rFonts w:ascii="Times New Roman" w:eastAsia="Times New Roman" w:hAnsi="Times New Roman" w:cs="Times New Roman"/>
          <w:color w:val="474747"/>
          <w:sz w:val="24"/>
          <w:szCs w:val="24"/>
          <w:lang w:eastAsia="it-IT"/>
        </w:rPr>
        <w:t xml:space="preserve"> delle metodologie didattiche relative alle diverse tipologie di disabilità, alla conoscenza dei contenuti e delle procedure volte all’inclusione scolastica degli alunni con disabilità.</w:t>
      </w:r>
    </w:p>
    <w:p w:rsidR="008D28A9" w:rsidRPr="00DD776E" w:rsidRDefault="008D28A9" w:rsidP="008D28A9">
      <w:pPr>
        <w:shd w:val="clear" w:color="auto" w:fill="FFFFFF"/>
        <w:spacing w:after="192" w:line="240" w:lineRule="auto"/>
        <w:textAlignment w:val="baseline"/>
        <w:rPr>
          <w:rFonts w:ascii="Times New Roman" w:eastAsia="Times New Roman" w:hAnsi="Times New Roman" w:cs="Times New Roman"/>
          <w:b/>
          <w:color w:val="474747"/>
          <w:sz w:val="24"/>
          <w:szCs w:val="24"/>
          <w:lang w:eastAsia="it-IT"/>
        </w:rPr>
      </w:pPr>
      <w:r w:rsidRPr="00DD776E">
        <w:rPr>
          <w:rFonts w:ascii="Times New Roman" w:eastAsia="Times New Roman" w:hAnsi="Times New Roman" w:cs="Times New Roman"/>
          <w:b/>
          <w:color w:val="474747"/>
          <w:sz w:val="24"/>
          <w:szCs w:val="24"/>
          <w:lang w:eastAsia="it-IT"/>
        </w:rPr>
        <w:t>La prova si intende superata con un punteggio di almeno 7/10 (28/40).</w:t>
      </w:r>
    </w:p>
    <w:p w:rsidR="008D28A9" w:rsidRPr="008D28A9" w:rsidRDefault="008D28A9" w:rsidP="008D28A9">
      <w:pPr>
        <w:shd w:val="clear" w:color="auto" w:fill="FFFFFF"/>
        <w:spacing w:after="0" w:line="240" w:lineRule="auto"/>
        <w:textAlignment w:val="baseline"/>
        <w:rPr>
          <w:rFonts w:ascii="Times New Roman" w:eastAsia="Times New Roman" w:hAnsi="Times New Roman" w:cs="Times New Roman"/>
          <w:color w:val="474747"/>
          <w:sz w:val="24"/>
          <w:szCs w:val="24"/>
          <w:lang w:eastAsia="it-IT"/>
        </w:rPr>
      </w:pPr>
      <w:r w:rsidRPr="008D28A9">
        <w:rPr>
          <w:rFonts w:ascii="inherit" w:eastAsia="Times New Roman" w:hAnsi="inherit" w:cs="Times New Roman"/>
          <w:b/>
          <w:bCs/>
          <w:color w:val="474747"/>
          <w:sz w:val="24"/>
          <w:szCs w:val="24"/>
          <w:bdr w:val="none" w:sz="0" w:space="0" w:color="auto" w:frame="1"/>
          <w:lang w:eastAsia="it-IT"/>
        </w:rPr>
        <w:t>Prova orale</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La prova orale per i posti di sostegno valuta la competenza nella progettazione didattica e curricolare e accerta la capacità di comprensione e conversazione in lingua inglese almeno al livello B2.</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Si stabilirà la stessa durata della prova per i posti comuni.</w:t>
      </w:r>
    </w:p>
    <w:p w:rsidR="008D28A9" w:rsidRPr="008D28A9" w:rsidRDefault="008D28A9" w:rsidP="008D28A9">
      <w:pPr>
        <w:shd w:val="clear" w:color="auto" w:fill="FFFFFF"/>
        <w:spacing w:before="300" w:after="300" w:line="240" w:lineRule="auto"/>
        <w:textAlignment w:val="baseline"/>
        <w:outlineLvl w:val="1"/>
        <w:rPr>
          <w:rFonts w:ascii="Times New Roman" w:eastAsia="Times New Roman" w:hAnsi="Times New Roman" w:cs="Times New Roman"/>
          <w:b/>
          <w:bCs/>
          <w:color w:val="474747"/>
          <w:sz w:val="30"/>
          <w:szCs w:val="30"/>
          <w:lang w:eastAsia="it-IT"/>
        </w:rPr>
      </w:pPr>
      <w:r w:rsidRPr="008D28A9">
        <w:rPr>
          <w:rFonts w:ascii="Times New Roman" w:eastAsia="Times New Roman" w:hAnsi="Times New Roman" w:cs="Times New Roman"/>
          <w:b/>
          <w:bCs/>
          <w:color w:val="474747"/>
          <w:sz w:val="30"/>
          <w:szCs w:val="30"/>
          <w:lang w:eastAsia="it-IT"/>
        </w:rPr>
        <w:t>Abilitazione a chi supera tutte le prove</w:t>
      </w:r>
    </w:p>
    <w:p w:rsidR="008D28A9" w:rsidRPr="008D28A9" w:rsidRDefault="008D28A9" w:rsidP="008D28A9">
      <w:pPr>
        <w:shd w:val="clear" w:color="auto" w:fill="FFFFFF"/>
        <w:spacing w:after="192" w:line="240" w:lineRule="auto"/>
        <w:textAlignment w:val="baseline"/>
        <w:rPr>
          <w:rFonts w:ascii="Times New Roman" w:eastAsia="Times New Roman" w:hAnsi="Times New Roman" w:cs="Times New Roman"/>
          <w:color w:val="474747"/>
          <w:sz w:val="24"/>
          <w:szCs w:val="24"/>
          <w:lang w:eastAsia="it-IT"/>
        </w:rPr>
      </w:pPr>
      <w:r w:rsidRPr="008D28A9">
        <w:rPr>
          <w:rFonts w:ascii="Times New Roman" w:eastAsia="Times New Roman" w:hAnsi="Times New Roman" w:cs="Times New Roman"/>
          <w:color w:val="474747"/>
          <w:sz w:val="24"/>
          <w:szCs w:val="24"/>
          <w:lang w:eastAsia="it-IT"/>
        </w:rPr>
        <w:t>Indipendentemente dalla posizione in graduatoria, il candidato che supera tutte le prove acquisisce l’abilitazione all’insegnamento.</w:t>
      </w:r>
    </w:p>
    <w:p w:rsidR="000E54FF" w:rsidRDefault="000E54FF">
      <w:bookmarkStart w:id="0" w:name="_GoBack"/>
      <w:bookmarkEnd w:id="0"/>
    </w:p>
    <w:sectPr w:rsidR="000E54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A7794"/>
    <w:multiLevelType w:val="multilevel"/>
    <w:tmpl w:val="6520D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4E51EE"/>
    <w:multiLevelType w:val="multilevel"/>
    <w:tmpl w:val="C97C58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8A9"/>
    <w:rsid w:val="000E54FF"/>
    <w:rsid w:val="008D28A9"/>
    <w:rsid w:val="00DD77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8D28A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D28A9"/>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8D28A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D28A9"/>
    <w:rPr>
      <w:b/>
      <w:bCs/>
    </w:rPr>
  </w:style>
  <w:style w:type="character" w:styleId="Collegamentoipertestuale">
    <w:name w:val="Hyperlink"/>
    <w:basedOn w:val="Carpredefinitoparagrafo"/>
    <w:uiPriority w:val="99"/>
    <w:semiHidden/>
    <w:unhideWhenUsed/>
    <w:rsid w:val="008D28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8D28A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D28A9"/>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8D28A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D28A9"/>
    <w:rPr>
      <w:b/>
      <w:bCs/>
    </w:rPr>
  </w:style>
  <w:style w:type="character" w:styleId="Collegamentoipertestuale">
    <w:name w:val="Hyperlink"/>
    <w:basedOn w:val="Carpredefinitoparagrafo"/>
    <w:uiPriority w:val="99"/>
    <w:semiHidden/>
    <w:unhideWhenUsed/>
    <w:rsid w:val="008D2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4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Alessandro</cp:lastModifiedBy>
  <cp:revision>2</cp:revision>
  <dcterms:created xsi:type="dcterms:W3CDTF">2020-02-07T07:11:00Z</dcterms:created>
  <dcterms:modified xsi:type="dcterms:W3CDTF">2020-02-07T07:11:00Z</dcterms:modified>
</cp:coreProperties>
</file>